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F00A" w14:textId="4AF08375" w:rsidR="00055CDE" w:rsidRDefault="00A33CAB" w:rsidP="00055CDE">
      <w:pPr>
        <w:jc w:val="right"/>
        <w:rPr>
          <w:rFonts w:cs="Times New Roman"/>
        </w:rPr>
      </w:pPr>
      <w:r>
        <w:rPr>
          <w:rFonts w:cs="Times New Roman"/>
        </w:rPr>
        <w:t>2</w:t>
      </w:r>
      <w:r w:rsidR="001166CB">
        <w:rPr>
          <w:rFonts w:cs="Times New Roman"/>
        </w:rPr>
        <w:t>5</w:t>
      </w:r>
      <w:r w:rsidR="00A14AA4">
        <w:rPr>
          <w:rFonts w:cs="Times New Roman"/>
        </w:rPr>
        <w:t>.</w:t>
      </w:r>
      <w:r w:rsidR="00C3075D">
        <w:rPr>
          <w:rFonts w:cs="Times New Roman"/>
        </w:rPr>
        <w:t>0</w:t>
      </w:r>
      <w:r w:rsidR="00191D4B">
        <w:rPr>
          <w:rFonts w:cs="Times New Roman"/>
        </w:rPr>
        <w:t>4</w:t>
      </w:r>
      <w:r w:rsidR="00A14AA4">
        <w:rPr>
          <w:rFonts w:cs="Times New Roman"/>
        </w:rPr>
        <w:t>.</w:t>
      </w:r>
      <w:r w:rsidR="00B96E60">
        <w:rPr>
          <w:rFonts w:cs="Times New Roman"/>
        </w:rPr>
        <w:t>20</w:t>
      </w:r>
      <w:r w:rsidR="00E41958">
        <w:rPr>
          <w:rFonts w:cs="Times New Roman"/>
        </w:rPr>
        <w:t>2</w:t>
      </w:r>
      <w:r w:rsidR="00191D4B">
        <w:rPr>
          <w:rFonts w:cs="Times New Roman"/>
        </w:rPr>
        <w:t>2</w:t>
      </w:r>
    </w:p>
    <w:p w14:paraId="21DD66C8" w14:textId="77777777" w:rsidR="00055CDE" w:rsidRDefault="00055CDE" w:rsidP="00055CDE">
      <w:pPr>
        <w:jc w:val="right"/>
        <w:rPr>
          <w:rFonts w:cs="Times New Roman"/>
        </w:rPr>
      </w:pPr>
    </w:p>
    <w:p w14:paraId="45BCD482" w14:textId="63B22DE6" w:rsidR="00055CDE" w:rsidRPr="00905BF7" w:rsidRDefault="00055CDE" w:rsidP="00534BB4">
      <w:pPr>
        <w:contextualSpacing/>
        <w:jc w:val="center"/>
        <w:rPr>
          <w:b/>
          <w:szCs w:val="24"/>
        </w:rPr>
      </w:pPr>
      <w:r>
        <w:rPr>
          <w:rFonts w:cs="Times New Roman"/>
          <w:b/>
        </w:rPr>
        <w:t xml:space="preserve">Majandus- ja taristuministri määruse </w:t>
      </w:r>
      <w:r w:rsidR="00191D4B">
        <w:rPr>
          <w:rFonts w:cs="Times New Roman"/>
          <w:b/>
        </w:rPr>
        <w:t>„</w:t>
      </w:r>
      <w:r w:rsidR="00191D4B" w:rsidRPr="00156E67">
        <w:rPr>
          <w:b/>
          <w:szCs w:val="24"/>
        </w:rPr>
        <w:t>Majand</w:t>
      </w:r>
      <w:r w:rsidR="00191D4B">
        <w:rPr>
          <w:b/>
          <w:szCs w:val="24"/>
        </w:rPr>
        <w:t>us- ja taristuministri 4</w:t>
      </w:r>
      <w:r w:rsidR="00191D4B" w:rsidRPr="00156E67">
        <w:rPr>
          <w:b/>
          <w:szCs w:val="24"/>
        </w:rPr>
        <w:t xml:space="preserve">. </w:t>
      </w:r>
      <w:r w:rsidR="00191D4B">
        <w:rPr>
          <w:b/>
          <w:szCs w:val="24"/>
        </w:rPr>
        <w:t>septembri</w:t>
      </w:r>
      <w:r w:rsidR="00191D4B" w:rsidRPr="00156E67">
        <w:rPr>
          <w:b/>
          <w:szCs w:val="24"/>
        </w:rPr>
        <w:t xml:space="preserve"> 201</w:t>
      </w:r>
      <w:r w:rsidR="00191D4B">
        <w:rPr>
          <w:b/>
          <w:szCs w:val="24"/>
        </w:rPr>
        <w:t>5</w:t>
      </w:r>
      <w:r w:rsidR="00191D4B" w:rsidRPr="00156E67">
        <w:rPr>
          <w:b/>
          <w:szCs w:val="24"/>
        </w:rPr>
        <w:t>.</w:t>
      </w:r>
      <w:r w:rsidR="00650001">
        <w:rPr>
          <w:b/>
          <w:szCs w:val="24"/>
        </w:rPr>
        <w:t> </w:t>
      </w:r>
      <w:r w:rsidR="00191D4B" w:rsidRPr="00156E67">
        <w:rPr>
          <w:b/>
          <w:szCs w:val="24"/>
        </w:rPr>
        <w:t xml:space="preserve">a määruse nr </w:t>
      </w:r>
      <w:r w:rsidR="00191D4B">
        <w:rPr>
          <w:b/>
          <w:szCs w:val="24"/>
        </w:rPr>
        <w:t>114</w:t>
      </w:r>
      <w:r w:rsidR="00191D4B" w:rsidRPr="00156E67">
        <w:rPr>
          <w:b/>
          <w:szCs w:val="24"/>
        </w:rPr>
        <w:t xml:space="preserve"> „</w:t>
      </w:r>
      <w:proofErr w:type="spellStart"/>
      <w:r w:rsidR="00191D4B" w:rsidRPr="00AB3A94">
        <w:rPr>
          <w:b/>
          <w:szCs w:val="24"/>
        </w:rPr>
        <w:t>Eriveo</w:t>
      </w:r>
      <w:proofErr w:type="spellEnd"/>
      <w:r w:rsidR="00191D4B" w:rsidRPr="00AB3A94">
        <w:rPr>
          <w:b/>
          <w:szCs w:val="24"/>
        </w:rPr>
        <w:t xml:space="preserve"> tingimused ning </w:t>
      </w:r>
      <w:proofErr w:type="spellStart"/>
      <w:r w:rsidR="00191D4B" w:rsidRPr="00AB3A94">
        <w:rPr>
          <w:b/>
          <w:szCs w:val="24"/>
        </w:rPr>
        <w:t>eriveo</w:t>
      </w:r>
      <w:proofErr w:type="spellEnd"/>
      <w:r w:rsidR="00191D4B" w:rsidRPr="00AB3A94">
        <w:rPr>
          <w:b/>
          <w:szCs w:val="24"/>
        </w:rPr>
        <w:t xml:space="preserve"> teostamise ja erilubade väljaandmise kord ning tee omanikule tekitatud kulutuste hüvitamise, eriloa menetlustasu ja eritasu määrad</w:t>
      </w:r>
      <w:r w:rsidR="00191D4B" w:rsidRPr="00156E67">
        <w:rPr>
          <w:b/>
          <w:szCs w:val="24"/>
        </w:rPr>
        <w:t>“ muutmine</w:t>
      </w:r>
      <w:r w:rsidR="00191D4B">
        <w:rPr>
          <w:b/>
          <w:szCs w:val="24"/>
        </w:rPr>
        <w:t xml:space="preserve">“ </w:t>
      </w:r>
      <w:r w:rsidR="00CE589A">
        <w:rPr>
          <w:b/>
          <w:szCs w:val="24"/>
        </w:rPr>
        <w:t xml:space="preserve">eelnõu </w:t>
      </w:r>
      <w:r w:rsidR="003175D0">
        <w:rPr>
          <w:b/>
          <w:szCs w:val="24"/>
        </w:rPr>
        <w:t>seletuskiri</w:t>
      </w:r>
    </w:p>
    <w:p w14:paraId="78314E7F" w14:textId="77777777" w:rsidR="00055CDE" w:rsidRDefault="00055CDE" w:rsidP="00534BB4">
      <w:pPr>
        <w:rPr>
          <w:rFonts w:cs="Times New Roman"/>
          <w:b/>
        </w:rPr>
      </w:pPr>
    </w:p>
    <w:p w14:paraId="169D6516" w14:textId="77777777" w:rsidR="00055CDE" w:rsidRDefault="00055CDE" w:rsidP="00055CDE">
      <w:pPr>
        <w:rPr>
          <w:rFonts w:cs="Times New Roman"/>
          <w:b/>
        </w:rPr>
      </w:pPr>
    </w:p>
    <w:p w14:paraId="2F3BB5B7" w14:textId="77777777" w:rsidR="00055CDE" w:rsidRDefault="00055CDE" w:rsidP="00055CDE">
      <w:pPr>
        <w:rPr>
          <w:rFonts w:cs="Times New Roman"/>
          <w:b/>
        </w:rPr>
      </w:pPr>
      <w:r>
        <w:rPr>
          <w:rFonts w:cs="Times New Roman"/>
          <w:b/>
        </w:rPr>
        <w:t>1. Sissejuhatus</w:t>
      </w:r>
    </w:p>
    <w:p w14:paraId="20B6F437" w14:textId="77777777" w:rsidR="00055CDE" w:rsidRDefault="00055CDE" w:rsidP="00055CDE">
      <w:pPr>
        <w:rPr>
          <w:rFonts w:cs="Times New Roman"/>
          <w:b/>
        </w:rPr>
      </w:pPr>
    </w:p>
    <w:p w14:paraId="1006FD5B" w14:textId="5F460AB9" w:rsidR="00B51250" w:rsidRDefault="00B51250" w:rsidP="00055CDE">
      <w:pPr>
        <w:rPr>
          <w:rFonts w:cs="Times New Roman"/>
          <w:b/>
        </w:rPr>
      </w:pPr>
      <w:r>
        <w:rPr>
          <w:rFonts w:cs="Times New Roman"/>
          <w:b/>
        </w:rPr>
        <w:t>1.1. Sisukokkuvõte</w:t>
      </w:r>
    </w:p>
    <w:p w14:paraId="773249CC" w14:textId="77777777" w:rsidR="00B51250" w:rsidRDefault="00B51250" w:rsidP="00055CDE">
      <w:pPr>
        <w:rPr>
          <w:rFonts w:cs="Times New Roman"/>
          <w:b/>
        </w:rPr>
      </w:pPr>
    </w:p>
    <w:p w14:paraId="3170C2C4" w14:textId="2F076542" w:rsidR="00191D4B" w:rsidRPr="00156E67" w:rsidRDefault="00191D4B" w:rsidP="00191D4B">
      <w:pPr>
        <w:contextualSpacing/>
        <w:rPr>
          <w:szCs w:val="24"/>
        </w:rPr>
      </w:pPr>
      <w:r w:rsidRPr="00156E67">
        <w:rPr>
          <w:szCs w:val="24"/>
        </w:rPr>
        <w:t>Määrus kehtestatakse liiklusseaduse</w:t>
      </w:r>
      <w:r w:rsidR="00165007">
        <w:rPr>
          <w:szCs w:val="24"/>
        </w:rPr>
        <w:t xml:space="preserve"> </w:t>
      </w:r>
      <w:r w:rsidRPr="00AB3A94">
        <w:rPr>
          <w:szCs w:val="24"/>
        </w:rPr>
        <w:t>§ 34</w:t>
      </w:r>
      <w:r w:rsidRPr="00AB3A94">
        <w:rPr>
          <w:szCs w:val="24"/>
          <w:vertAlign w:val="superscript"/>
        </w:rPr>
        <w:t>1</w:t>
      </w:r>
      <w:r w:rsidRPr="00AB3A94">
        <w:rPr>
          <w:szCs w:val="24"/>
        </w:rPr>
        <w:t xml:space="preserve"> lõike 7</w:t>
      </w:r>
      <w:r>
        <w:rPr>
          <w:szCs w:val="24"/>
        </w:rPr>
        <w:t xml:space="preserve"> alusel.</w:t>
      </w:r>
    </w:p>
    <w:p w14:paraId="029554D9" w14:textId="77777777" w:rsidR="002C1054" w:rsidRDefault="002C1054" w:rsidP="00055CDE">
      <w:pPr>
        <w:rPr>
          <w:rFonts w:cs="Times New Roman"/>
          <w:szCs w:val="24"/>
        </w:rPr>
      </w:pPr>
    </w:p>
    <w:p w14:paraId="0A82A20A" w14:textId="7B865E47" w:rsidR="002F5BCF" w:rsidRDefault="00191D4B" w:rsidP="00055CDE">
      <w:pPr>
        <w:rPr>
          <w:rFonts w:cs="Times New Roman"/>
          <w:szCs w:val="24"/>
        </w:rPr>
      </w:pPr>
      <w:bookmarkStart w:id="0" w:name="_Hlk102168947"/>
      <w:r>
        <w:rPr>
          <w:rFonts w:cs="Times New Roman"/>
          <w:szCs w:val="24"/>
        </w:rPr>
        <w:t>Eelnõu eesmärk on täpsustada määrust, et viia eriloa andmise põhimõtted vastavusse direktiiviga 96/53/EÜ</w:t>
      </w:r>
      <w:r w:rsidR="00127471">
        <w:rPr>
          <w:rFonts w:cs="Times New Roman"/>
          <w:szCs w:val="24"/>
        </w:rPr>
        <w:t xml:space="preserve"> nõuetega</w:t>
      </w:r>
      <w:r>
        <w:rPr>
          <w:rFonts w:cs="Times New Roman"/>
          <w:szCs w:val="24"/>
        </w:rPr>
        <w:t xml:space="preserve"> ning sätestada, et erisus, mis lubab</w:t>
      </w:r>
      <w:r w:rsidR="00165007">
        <w:rPr>
          <w:rFonts w:cs="Times New Roman"/>
          <w:szCs w:val="24"/>
        </w:rPr>
        <w:t xml:space="preserve"> eriloa alusel</w:t>
      </w:r>
      <w:r>
        <w:rPr>
          <w:rFonts w:cs="Times New Roman"/>
          <w:szCs w:val="24"/>
        </w:rPr>
        <w:t xml:space="preserve"> mootorsõidukeid vedada 20,75 meetrise autorongiga</w:t>
      </w:r>
      <w:r w:rsidR="0012747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kehtib ainult riigisisesel veol.</w:t>
      </w:r>
      <w:bookmarkEnd w:id="0"/>
    </w:p>
    <w:p w14:paraId="7A448033" w14:textId="77777777" w:rsidR="00F45056" w:rsidRDefault="00F45056" w:rsidP="00055CDE">
      <w:pPr>
        <w:rPr>
          <w:rFonts w:cs="Times New Roman"/>
          <w:szCs w:val="24"/>
        </w:rPr>
      </w:pPr>
    </w:p>
    <w:p w14:paraId="79904CEC" w14:textId="2FE3F7FD" w:rsidR="00B51250" w:rsidRPr="00B51250" w:rsidRDefault="00B51250" w:rsidP="00055CDE">
      <w:pPr>
        <w:rPr>
          <w:rFonts w:cs="Times New Roman"/>
          <w:b/>
          <w:szCs w:val="24"/>
        </w:rPr>
      </w:pPr>
      <w:r w:rsidRPr="00B51250">
        <w:rPr>
          <w:rFonts w:cs="Times New Roman"/>
          <w:b/>
          <w:szCs w:val="24"/>
        </w:rPr>
        <w:t>1.2. Eelnõu ettevalmistaja</w:t>
      </w:r>
    </w:p>
    <w:p w14:paraId="1D163F8A" w14:textId="77777777" w:rsidR="00B51250" w:rsidRDefault="00B51250" w:rsidP="00055CDE">
      <w:pPr>
        <w:rPr>
          <w:rFonts w:cs="Times New Roman"/>
          <w:szCs w:val="24"/>
        </w:rPr>
      </w:pPr>
    </w:p>
    <w:p w14:paraId="22BCBF8D" w14:textId="0A30CC52" w:rsidR="00055CDE" w:rsidRDefault="00055CDE" w:rsidP="00055CD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Eelnõu ja seletuskirja koostas Majandus- ja Kommunikatsiooniministeeriumi teede- ja raudteeosakonna veondus- ja liiklustalituse </w:t>
      </w:r>
      <w:r w:rsidR="00F45056">
        <w:rPr>
          <w:rFonts w:cs="Times New Roman"/>
          <w:szCs w:val="24"/>
        </w:rPr>
        <w:t>peaspetsialist</w:t>
      </w:r>
      <w:r>
        <w:rPr>
          <w:rFonts w:cs="Times New Roman"/>
          <w:szCs w:val="24"/>
        </w:rPr>
        <w:t xml:space="preserve"> </w:t>
      </w:r>
      <w:r w:rsidR="00F45056" w:rsidRPr="00F45056">
        <w:rPr>
          <w:rFonts w:cs="Times New Roman"/>
          <w:szCs w:val="24"/>
        </w:rPr>
        <w:t>Sven Nurk</w:t>
      </w:r>
      <w:r>
        <w:rPr>
          <w:rFonts w:cs="Times New Roman"/>
          <w:szCs w:val="24"/>
        </w:rPr>
        <w:t xml:space="preserve"> (e-post: </w:t>
      </w:r>
      <w:r w:rsidR="00F45056">
        <w:rPr>
          <w:rFonts w:cs="Times New Roman"/>
          <w:szCs w:val="24"/>
        </w:rPr>
        <w:t xml:space="preserve">sven.nurk@mkm.ee, tel: 625 6498). </w:t>
      </w:r>
      <w:r>
        <w:rPr>
          <w:rFonts w:cs="Times New Roman"/>
          <w:szCs w:val="24"/>
        </w:rPr>
        <w:t xml:space="preserve">Eelnõu õigusliku ekspertiisi tegi Majandus- ja Kommunikatsiooniministeeriumi õigusosakonna </w:t>
      </w:r>
      <w:r w:rsidR="001127C2">
        <w:rPr>
          <w:rFonts w:cs="Times New Roman"/>
          <w:szCs w:val="24"/>
        </w:rPr>
        <w:t>juhataja Tiit Rebane</w:t>
      </w:r>
      <w:r>
        <w:rPr>
          <w:rFonts w:cs="Times New Roman"/>
          <w:szCs w:val="24"/>
        </w:rPr>
        <w:t xml:space="preserve"> (e-post: </w:t>
      </w:r>
      <w:r w:rsidR="001127C2">
        <w:rPr>
          <w:rFonts w:cs="Times New Roman"/>
          <w:szCs w:val="24"/>
        </w:rPr>
        <w:t>tiit.rebane</w:t>
      </w:r>
      <w:r>
        <w:rPr>
          <w:rFonts w:cs="Times New Roman"/>
          <w:szCs w:val="24"/>
        </w:rPr>
        <w:t>@mkm.ee)</w:t>
      </w:r>
      <w:r w:rsidR="00F4505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191D4B">
        <w:rPr>
          <w:rFonts w:cs="Times New Roman"/>
          <w:szCs w:val="24"/>
        </w:rPr>
        <w:t>Eelnõu vaatas keeleliselt üle Sven Nurk</w:t>
      </w:r>
      <w:r w:rsidR="00165007">
        <w:rPr>
          <w:rFonts w:cs="Times New Roman"/>
          <w:szCs w:val="24"/>
        </w:rPr>
        <w:t>.</w:t>
      </w:r>
    </w:p>
    <w:p w14:paraId="3E0D4EC7" w14:textId="77777777" w:rsidR="00055CDE" w:rsidRDefault="00055CDE" w:rsidP="00055CDE">
      <w:pPr>
        <w:rPr>
          <w:rFonts w:cs="Times New Roman"/>
          <w:szCs w:val="24"/>
        </w:rPr>
      </w:pPr>
    </w:p>
    <w:p w14:paraId="57AD814C" w14:textId="3A3AE1E8" w:rsidR="00B51250" w:rsidRPr="00B51250" w:rsidRDefault="00B51250" w:rsidP="00055CDE">
      <w:pPr>
        <w:rPr>
          <w:rFonts w:cs="Times New Roman"/>
          <w:b/>
          <w:szCs w:val="24"/>
        </w:rPr>
      </w:pPr>
      <w:r w:rsidRPr="00B51250">
        <w:rPr>
          <w:rFonts w:cs="Times New Roman"/>
          <w:b/>
          <w:szCs w:val="24"/>
        </w:rPr>
        <w:t>1.3. Märkused</w:t>
      </w:r>
    </w:p>
    <w:p w14:paraId="36461907" w14:textId="77777777" w:rsidR="00B51250" w:rsidRDefault="00B51250" w:rsidP="00055CDE">
      <w:pPr>
        <w:rPr>
          <w:rFonts w:cs="Times New Roman"/>
          <w:szCs w:val="24"/>
        </w:rPr>
      </w:pPr>
    </w:p>
    <w:p w14:paraId="01549CB5" w14:textId="180991EF" w:rsidR="00B51250" w:rsidRDefault="00B51250" w:rsidP="00055CDE">
      <w:pPr>
        <w:rPr>
          <w:rFonts w:cs="Times New Roman"/>
          <w:szCs w:val="24"/>
        </w:rPr>
      </w:pPr>
      <w:bookmarkStart w:id="1" w:name="_Hlk102168985"/>
      <w:r>
        <w:rPr>
          <w:rFonts w:cs="Times New Roman"/>
          <w:szCs w:val="24"/>
        </w:rPr>
        <w:t xml:space="preserve">Eelnõu on seotud Euroopa </w:t>
      </w:r>
      <w:r w:rsidR="006E1A92">
        <w:rPr>
          <w:rFonts w:cs="Times New Roman"/>
          <w:szCs w:val="24"/>
        </w:rPr>
        <w:t xml:space="preserve">Liidu </w:t>
      </w:r>
      <w:r>
        <w:rPr>
          <w:rFonts w:cs="Times New Roman"/>
          <w:szCs w:val="24"/>
        </w:rPr>
        <w:t>õiguse</w:t>
      </w:r>
      <w:r w:rsidR="00CF32E1">
        <w:rPr>
          <w:rFonts w:cs="Times New Roman"/>
          <w:szCs w:val="24"/>
        </w:rPr>
        <w:t>ga</w:t>
      </w:r>
      <w:r>
        <w:rPr>
          <w:rFonts w:cs="Times New Roman"/>
          <w:szCs w:val="24"/>
        </w:rPr>
        <w:t xml:space="preserve">, kuna </w:t>
      </w:r>
      <w:r w:rsidR="001127C2">
        <w:rPr>
          <w:rFonts w:cs="Times New Roman"/>
          <w:szCs w:val="24"/>
        </w:rPr>
        <w:t>muudatusega</w:t>
      </w:r>
      <w:r>
        <w:rPr>
          <w:rFonts w:cs="Times New Roman"/>
          <w:szCs w:val="24"/>
        </w:rPr>
        <w:t xml:space="preserve"> </w:t>
      </w:r>
      <w:r w:rsidR="00CF32E1">
        <w:rPr>
          <w:rFonts w:cs="Times New Roman"/>
          <w:szCs w:val="24"/>
        </w:rPr>
        <w:t xml:space="preserve">kõrvaldatakse vastuolu </w:t>
      </w:r>
      <w:r>
        <w:rPr>
          <w:rFonts w:cs="Times New Roman"/>
          <w:szCs w:val="24"/>
        </w:rPr>
        <w:t>nõukogu direktiivi</w:t>
      </w:r>
      <w:r w:rsidR="00191D4B">
        <w:rPr>
          <w:rFonts w:cs="Times New Roman"/>
          <w:szCs w:val="24"/>
        </w:rPr>
        <w:t>ga</w:t>
      </w:r>
      <w:r>
        <w:rPr>
          <w:rFonts w:cs="Times New Roman"/>
          <w:szCs w:val="24"/>
        </w:rPr>
        <w:t xml:space="preserve"> 96/53/EÜ</w:t>
      </w:r>
      <w:r w:rsidR="00FE327A">
        <w:rPr>
          <w:rFonts w:cs="Times New Roman"/>
          <w:szCs w:val="24"/>
        </w:rPr>
        <w:t>,</w:t>
      </w:r>
      <w:r w:rsidR="00F022A2">
        <w:rPr>
          <w:rFonts w:cs="Times New Roman"/>
          <w:szCs w:val="24"/>
        </w:rPr>
        <w:t xml:space="preserve"> </w:t>
      </w:r>
      <w:r w:rsidR="00FE327A" w:rsidRPr="00FE327A">
        <w:rPr>
          <w:rFonts w:cs="Times New Roman"/>
          <w:szCs w:val="24"/>
        </w:rPr>
        <w:t>millega kehtestatakse teatavatele ühenduses liikuvatele maanteesõidukitele siseriiklikus ja rahvusvahelises liikluses lubatud maksimaalmõõtmed ning rahvusvahelises liikluses lubatud täismass</w:t>
      </w:r>
      <w:r w:rsidR="00FE327A">
        <w:rPr>
          <w:rFonts w:cs="Times New Roman"/>
          <w:szCs w:val="24"/>
        </w:rPr>
        <w:t xml:space="preserve"> (</w:t>
      </w:r>
      <w:r w:rsidR="00FE327A" w:rsidRPr="00FE327A">
        <w:rPr>
          <w:rFonts w:cs="Times New Roman"/>
          <w:szCs w:val="24"/>
        </w:rPr>
        <w:t>EÜT L 235, 17.</w:t>
      </w:r>
      <w:r w:rsidR="00FE327A">
        <w:rPr>
          <w:rFonts w:cs="Times New Roman"/>
          <w:szCs w:val="24"/>
        </w:rPr>
        <w:t>0</w:t>
      </w:r>
      <w:r w:rsidR="00FE327A" w:rsidRPr="00FE327A">
        <w:rPr>
          <w:rFonts w:cs="Times New Roman"/>
          <w:szCs w:val="24"/>
        </w:rPr>
        <w:t>9.1996, lk 59</w:t>
      </w:r>
      <w:r w:rsidR="00FE327A">
        <w:rPr>
          <w:rFonts w:cs="Times New Roman"/>
          <w:szCs w:val="24"/>
        </w:rPr>
        <w:t>–</w:t>
      </w:r>
      <w:r w:rsidR="00FE327A" w:rsidRPr="00FE327A">
        <w:rPr>
          <w:rFonts w:cs="Times New Roman"/>
          <w:szCs w:val="24"/>
        </w:rPr>
        <w:t>75</w:t>
      </w:r>
      <w:r w:rsidR="00FE327A">
        <w:rPr>
          <w:rFonts w:cs="Times New Roman"/>
          <w:szCs w:val="24"/>
        </w:rPr>
        <w:t>)</w:t>
      </w:r>
      <w:r w:rsidR="00191D4B">
        <w:rPr>
          <w:rFonts w:cs="Times New Roman"/>
          <w:szCs w:val="24"/>
        </w:rPr>
        <w:t>.</w:t>
      </w:r>
      <w:bookmarkEnd w:id="1"/>
    </w:p>
    <w:p w14:paraId="7FF95C3E" w14:textId="6466D59D" w:rsidR="00B51250" w:rsidRDefault="00B51250" w:rsidP="00055CDE">
      <w:pPr>
        <w:rPr>
          <w:rFonts w:cs="Times New Roman"/>
          <w:szCs w:val="24"/>
        </w:rPr>
      </w:pPr>
    </w:p>
    <w:p w14:paraId="5E5D2939" w14:textId="2A9E4B16" w:rsidR="002F5BCF" w:rsidRDefault="00055CDE" w:rsidP="00191D4B">
      <w:r>
        <w:rPr>
          <w:rFonts w:cs="Times New Roman"/>
          <w:szCs w:val="24"/>
        </w:rPr>
        <w:t>Määrusega muudetakse</w:t>
      </w:r>
      <w:r w:rsidR="00191D4B">
        <w:rPr>
          <w:rFonts w:cs="Times New Roman"/>
          <w:szCs w:val="24"/>
        </w:rPr>
        <w:t xml:space="preserve"> m</w:t>
      </w:r>
      <w:r w:rsidR="00191D4B" w:rsidRPr="00191D4B">
        <w:rPr>
          <w:rFonts w:cs="Times New Roman"/>
          <w:szCs w:val="24"/>
        </w:rPr>
        <w:t>ajandus- ja taristuministri 4. septembri 2015. a määrus</w:t>
      </w:r>
      <w:r w:rsidR="00191D4B">
        <w:rPr>
          <w:rFonts w:cs="Times New Roman"/>
          <w:szCs w:val="24"/>
        </w:rPr>
        <w:t>t</w:t>
      </w:r>
      <w:r w:rsidR="00191D4B" w:rsidRPr="00191D4B">
        <w:rPr>
          <w:rFonts w:cs="Times New Roman"/>
          <w:szCs w:val="24"/>
        </w:rPr>
        <w:t xml:space="preserve"> nr 114 „</w:t>
      </w:r>
      <w:proofErr w:type="spellStart"/>
      <w:r w:rsidR="00191D4B" w:rsidRPr="00191D4B">
        <w:rPr>
          <w:rFonts w:cs="Times New Roman"/>
          <w:szCs w:val="24"/>
        </w:rPr>
        <w:t>Eriveo</w:t>
      </w:r>
      <w:proofErr w:type="spellEnd"/>
      <w:r w:rsidR="00191D4B" w:rsidRPr="00191D4B">
        <w:rPr>
          <w:rFonts w:cs="Times New Roman"/>
          <w:szCs w:val="24"/>
        </w:rPr>
        <w:t xml:space="preserve"> tingimused ning </w:t>
      </w:r>
      <w:proofErr w:type="spellStart"/>
      <w:r w:rsidR="00191D4B" w:rsidRPr="00191D4B">
        <w:rPr>
          <w:rFonts w:cs="Times New Roman"/>
          <w:szCs w:val="24"/>
        </w:rPr>
        <w:t>eriveo</w:t>
      </w:r>
      <w:proofErr w:type="spellEnd"/>
      <w:r w:rsidR="00191D4B" w:rsidRPr="00191D4B">
        <w:rPr>
          <w:rFonts w:cs="Times New Roman"/>
          <w:szCs w:val="24"/>
        </w:rPr>
        <w:t xml:space="preserve"> teostamise ja erilubade väljaandmise kord ning tee omanikule tekitatud kulutuste hüvitamise, eriloa menetlustasu ja eritasu määrad“</w:t>
      </w:r>
      <w:r w:rsidR="004C7A6A">
        <w:rPr>
          <w:rFonts w:cs="Times New Roman"/>
          <w:szCs w:val="24"/>
        </w:rPr>
        <w:t xml:space="preserve"> (</w:t>
      </w:r>
      <w:r w:rsidR="004C7A6A" w:rsidRPr="004C7A6A">
        <w:rPr>
          <w:rFonts w:cs="Times New Roman"/>
          <w:szCs w:val="24"/>
        </w:rPr>
        <w:t>RT I, 10.08.2021, 4</w:t>
      </w:r>
      <w:r w:rsidR="004C7A6A">
        <w:rPr>
          <w:rFonts w:cs="Times New Roman"/>
          <w:szCs w:val="24"/>
        </w:rPr>
        <w:t>)</w:t>
      </w:r>
      <w:r w:rsidR="00191D4B">
        <w:rPr>
          <w:rFonts w:cs="Times New Roman"/>
          <w:szCs w:val="24"/>
        </w:rPr>
        <w:t>.</w:t>
      </w:r>
    </w:p>
    <w:p w14:paraId="0A98D5BF" w14:textId="77777777" w:rsidR="00055CDE" w:rsidRDefault="00055CDE" w:rsidP="00055CDE">
      <w:pPr>
        <w:rPr>
          <w:rFonts w:cs="Times New Roman"/>
          <w:szCs w:val="24"/>
        </w:rPr>
      </w:pPr>
    </w:p>
    <w:p w14:paraId="244CA88D" w14:textId="77777777" w:rsidR="00055CDE" w:rsidRDefault="00055CDE" w:rsidP="00055CD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 Eelnõu sisu ja võrdlev analüüs</w:t>
      </w:r>
    </w:p>
    <w:p w14:paraId="1D01A082" w14:textId="6C1D3486" w:rsidR="00055CDE" w:rsidRDefault="00055CDE" w:rsidP="00055CDE">
      <w:pPr>
        <w:rPr>
          <w:rFonts w:cs="Times New Roman"/>
          <w:szCs w:val="24"/>
        </w:rPr>
      </w:pPr>
    </w:p>
    <w:p w14:paraId="4A665C4F" w14:textId="64B3776C" w:rsidR="004C6E0B" w:rsidRDefault="004C6E0B" w:rsidP="004C6E0B">
      <w:pPr>
        <w:rPr>
          <w:rFonts w:cs="Times New Roman"/>
          <w:szCs w:val="24"/>
        </w:rPr>
      </w:pPr>
      <w:r>
        <w:rPr>
          <w:rFonts w:cs="Times New Roman"/>
          <w:szCs w:val="24"/>
        </w:rPr>
        <w:t>Kehtiva määruse kohaselt võib e</w:t>
      </w:r>
      <w:r w:rsidRPr="004C6E0B">
        <w:rPr>
          <w:rFonts w:cs="Times New Roman"/>
          <w:szCs w:val="24"/>
        </w:rPr>
        <w:t>riveona vedada sõidukeid sadulveokist ja sihtotstarbelisest poolhaagisest koosneva autorongiga, mille pikkus veosega või veoseta ei ületa 20,75 m</w:t>
      </w:r>
      <w:r w:rsidR="00165007">
        <w:rPr>
          <w:rFonts w:cs="Times New Roman"/>
          <w:szCs w:val="24"/>
        </w:rPr>
        <w:t>.</w:t>
      </w:r>
    </w:p>
    <w:p w14:paraId="738B559F" w14:textId="0B1FEE22" w:rsidR="004C6E0B" w:rsidRDefault="004C6E0B" w:rsidP="004C6E0B">
      <w:pPr>
        <w:rPr>
          <w:rFonts w:cs="Times New Roman"/>
          <w:szCs w:val="24"/>
        </w:rPr>
      </w:pPr>
    </w:p>
    <w:p w14:paraId="62FF3862" w14:textId="696A7417" w:rsidR="00293806" w:rsidRDefault="00293806" w:rsidP="004C6E0B">
      <w:pPr>
        <w:rPr>
          <w:rFonts w:cs="Times New Roman"/>
          <w:szCs w:val="24"/>
        </w:rPr>
      </w:pPr>
      <w:r>
        <w:rPr>
          <w:rFonts w:cs="Times New Roman"/>
          <w:szCs w:val="24"/>
        </w:rPr>
        <w:t>Vastavalt direktiivi 96/53/EÜ artikli 4 lõikele 1 ja lõike 1 punktile a</w:t>
      </w:r>
      <w:r w:rsidR="00533E1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ei tohi liikmesriigid oma territooriumil tavapäraselt liikuda riigisisese kaubaveo eesmärgil sõidukitel, mis ei vasta direktiivi </w:t>
      </w:r>
      <w:r>
        <w:t xml:space="preserve">I lisa punktides 1.1 </w:t>
      </w:r>
      <w:r>
        <w:rPr>
          <w:rFonts w:cs="Times New Roman"/>
          <w:szCs w:val="24"/>
        </w:rPr>
        <w:t>(lubatud suurim pikkus poolhaagisega autorongil 16,5 m)</w:t>
      </w:r>
      <w:r>
        <w:t>, 1.2, 1.4, 1.5, 1.6, 1.7, 1.8, 4.2 ja 4.4 kindlaksmääratud karakteristikutele</w:t>
      </w:r>
      <w:r w:rsidR="00DE0455">
        <w:t>. Vastav säte on ülevõetud liiklusseaduse § 73 lõike 11 alusel kehtestatud majandus- ja kommunikatsiooniministri 13.</w:t>
      </w:r>
      <w:r w:rsidR="00650001">
        <w:t> </w:t>
      </w:r>
      <w:r w:rsidR="00DE0455">
        <w:t>juuni 2011. a määrusega nr 42 „</w:t>
      </w:r>
      <w:r w:rsidR="00DE0455" w:rsidRPr="00DE0455">
        <w:t xml:space="preserve">Mootorsõiduki ja selle haagise </w:t>
      </w:r>
      <w:proofErr w:type="spellStart"/>
      <w:r w:rsidR="00DE0455" w:rsidRPr="00DE0455">
        <w:t>tehnonõuded</w:t>
      </w:r>
      <w:proofErr w:type="spellEnd"/>
      <w:r w:rsidR="00DE0455" w:rsidRPr="00DE0455">
        <w:t xml:space="preserve"> ning nõuded varustusele</w:t>
      </w:r>
      <w:r w:rsidR="00DE0455">
        <w:t>“, mille lisa 1 koodi 1102 punkti 11 kohaselt on poolhaagisega autorongi lubatud suurim pikkus 16,5 meetrit.</w:t>
      </w:r>
    </w:p>
    <w:p w14:paraId="58451EE9" w14:textId="77777777" w:rsidR="00293806" w:rsidRDefault="00293806" w:rsidP="004C6E0B">
      <w:pPr>
        <w:rPr>
          <w:rFonts w:cs="Times New Roman"/>
          <w:szCs w:val="24"/>
        </w:rPr>
      </w:pPr>
    </w:p>
    <w:p w14:paraId="47D7393D" w14:textId="039D1D9C" w:rsidR="00E9389A" w:rsidRDefault="00293806" w:rsidP="004C6E0B">
      <w:pPr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4C6E0B">
        <w:rPr>
          <w:rFonts w:cs="Times New Roman"/>
          <w:szCs w:val="24"/>
        </w:rPr>
        <w:t xml:space="preserve">irektiivi 96/53/EÜ </w:t>
      </w:r>
      <w:r>
        <w:rPr>
          <w:rFonts w:cs="Times New Roman"/>
          <w:szCs w:val="24"/>
        </w:rPr>
        <w:t xml:space="preserve">artikkel </w:t>
      </w:r>
      <w:r w:rsidR="004C6E0B">
        <w:rPr>
          <w:rFonts w:cs="Times New Roman"/>
          <w:szCs w:val="24"/>
        </w:rPr>
        <w:t xml:space="preserve">4 </w:t>
      </w:r>
      <w:r>
        <w:rPr>
          <w:rFonts w:cs="Times New Roman"/>
          <w:szCs w:val="24"/>
        </w:rPr>
        <w:t>lõige</w:t>
      </w:r>
      <w:r w:rsidR="004C6E0B">
        <w:rPr>
          <w:rFonts w:cs="Times New Roman"/>
          <w:szCs w:val="24"/>
        </w:rPr>
        <w:t xml:space="preserve"> 4</w:t>
      </w:r>
      <w:r>
        <w:rPr>
          <w:rFonts w:cs="Times New Roman"/>
          <w:szCs w:val="24"/>
        </w:rPr>
        <w:t xml:space="preserve"> täpsustab lõiget 1 ja sätestab, et liikmesriigid</w:t>
      </w:r>
      <w:r w:rsidR="00F022A2">
        <w:rPr>
          <w:rFonts w:cs="Times New Roman"/>
          <w:szCs w:val="24"/>
        </w:rPr>
        <w:t xml:space="preserve"> </w:t>
      </w:r>
      <w:r w:rsidR="004C6E0B">
        <w:rPr>
          <w:rFonts w:cs="Times New Roman"/>
          <w:szCs w:val="24"/>
        </w:rPr>
        <w:t xml:space="preserve">võivad </w:t>
      </w:r>
      <w:r w:rsidR="004C6E0B" w:rsidRPr="004C6E0B">
        <w:rPr>
          <w:rFonts w:cs="Times New Roman"/>
          <w:szCs w:val="24"/>
        </w:rPr>
        <w:t>lubada riigisisestel kaubavedudel</w:t>
      </w:r>
      <w:r w:rsidR="004C6E0B">
        <w:rPr>
          <w:rFonts w:cs="Times New Roman"/>
          <w:szCs w:val="24"/>
        </w:rPr>
        <w:t xml:space="preserve"> </w:t>
      </w:r>
      <w:r w:rsidR="004C6E0B" w:rsidRPr="004C6E0B">
        <w:rPr>
          <w:rFonts w:cs="Times New Roman"/>
          <w:szCs w:val="24"/>
        </w:rPr>
        <w:t>kasutatavatel sõidukitel ja liidendsõidukitel, mille mõõtmed erinevad</w:t>
      </w:r>
      <w:r w:rsidR="004C6E0B">
        <w:rPr>
          <w:rFonts w:cs="Times New Roman"/>
          <w:szCs w:val="24"/>
        </w:rPr>
        <w:t xml:space="preserve"> direktiivi</w:t>
      </w:r>
      <w:r w:rsidR="004C6E0B" w:rsidRPr="004C6E0B">
        <w:rPr>
          <w:rFonts w:cs="Times New Roman"/>
          <w:szCs w:val="24"/>
        </w:rPr>
        <w:t xml:space="preserve"> I lisa punktides 1.1, 1.2, 1.4</w:t>
      </w:r>
      <w:r w:rsidR="00801F21">
        <w:rPr>
          <w:rFonts w:cs="Times New Roman"/>
          <w:szCs w:val="24"/>
        </w:rPr>
        <w:t>–</w:t>
      </w:r>
      <w:r w:rsidR="004C6E0B" w:rsidRPr="004C6E0B">
        <w:rPr>
          <w:rFonts w:cs="Times New Roman"/>
          <w:szCs w:val="24"/>
        </w:rPr>
        <w:t>1.8, 4.2 ja 4.4 kehtestatud mõõtmetest, liigelda nende territooriumil, kui nende sõidukitega</w:t>
      </w:r>
      <w:r w:rsidR="004C6E0B">
        <w:rPr>
          <w:rFonts w:cs="Times New Roman"/>
          <w:szCs w:val="24"/>
        </w:rPr>
        <w:t xml:space="preserve"> </w:t>
      </w:r>
      <w:r w:rsidR="004C6E0B" w:rsidRPr="004C6E0B">
        <w:rPr>
          <w:rFonts w:cs="Times New Roman"/>
          <w:szCs w:val="24"/>
        </w:rPr>
        <w:t>tehakse teatavaid riigisiseseid vedusid, mis ei mõjuta oluliselt rahvusvahelist konkurentsi transpordisektoris.</w:t>
      </w:r>
    </w:p>
    <w:p w14:paraId="5A007330" w14:textId="5E4FECE0" w:rsidR="007B785A" w:rsidRDefault="007B785A" w:rsidP="004C6E0B">
      <w:pPr>
        <w:rPr>
          <w:rFonts w:cs="Times New Roman"/>
          <w:szCs w:val="24"/>
        </w:rPr>
      </w:pPr>
    </w:p>
    <w:p w14:paraId="3B3F318E" w14:textId="40360682" w:rsidR="007B785A" w:rsidRDefault="007B785A" w:rsidP="004C6E0B">
      <w:pPr>
        <w:rPr>
          <w:rFonts w:cs="Times New Roman"/>
          <w:szCs w:val="24"/>
        </w:rPr>
      </w:pPr>
      <w:r>
        <w:rPr>
          <w:rFonts w:cs="Times New Roman"/>
          <w:szCs w:val="24"/>
        </w:rPr>
        <w:t>Seega võib direktiivi kohaselt</w:t>
      </w:r>
      <w:r w:rsidR="00CF32E1">
        <w:rPr>
          <w:rFonts w:cs="Times New Roman"/>
          <w:szCs w:val="24"/>
        </w:rPr>
        <w:t xml:space="preserve"> liikmesriik lubada</w:t>
      </w:r>
      <w:r>
        <w:rPr>
          <w:rFonts w:cs="Times New Roman"/>
          <w:szCs w:val="24"/>
        </w:rPr>
        <w:t xml:space="preserve"> mõõtmeid ületada üksnes riigisisesel veol. </w:t>
      </w:r>
      <w:bookmarkStart w:id="2" w:name="_Hlk101792370"/>
      <w:r>
        <w:rPr>
          <w:rFonts w:cs="Times New Roman"/>
          <w:szCs w:val="24"/>
        </w:rPr>
        <w:t>Määruse muudatus</w:t>
      </w:r>
      <w:r w:rsidR="00DA3905">
        <w:rPr>
          <w:rFonts w:cs="Times New Roman"/>
          <w:szCs w:val="24"/>
        </w:rPr>
        <w:t>e kohaselt ei saa</w:t>
      </w:r>
      <w:r>
        <w:rPr>
          <w:rFonts w:cs="Times New Roman"/>
          <w:szCs w:val="24"/>
        </w:rPr>
        <w:t xml:space="preserve"> Transpordiamet </w:t>
      </w:r>
      <w:r w:rsidR="00DA3905">
        <w:rPr>
          <w:rFonts w:cs="Times New Roman"/>
          <w:szCs w:val="24"/>
        </w:rPr>
        <w:t>edaspidi anda</w:t>
      </w:r>
      <w:r>
        <w:rPr>
          <w:rFonts w:cs="Times New Roman"/>
          <w:szCs w:val="24"/>
        </w:rPr>
        <w:t xml:space="preserve"> eril</w:t>
      </w:r>
      <w:r w:rsidR="00DA3905">
        <w:rPr>
          <w:rFonts w:cs="Times New Roman"/>
          <w:szCs w:val="24"/>
        </w:rPr>
        <w:t>uba</w:t>
      </w:r>
      <w:r>
        <w:rPr>
          <w:rFonts w:cs="Times New Roman"/>
          <w:szCs w:val="24"/>
        </w:rPr>
        <w:t>, kui 20,75 m autorongiga on plaanis teha rahvusvahelisi vedusid, kuivõrd direktiivi 96/53/EÜ lubab pikkust ületada üksnes riigisisesel veol.</w:t>
      </w:r>
      <w:r w:rsidR="00CF32E1">
        <w:rPr>
          <w:rFonts w:cs="Times New Roman"/>
          <w:szCs w:val="24"/>
        </w:rPr>
        <w:t xml:space="preserve"> Rahvusvahelise veo korral ei ole liikmesriigil õigust lubada mõõtmeid ületada.</w:t>
      </w:r>
    </w:p>
    <w:bookmarkEnd w:id="2"/>
    <w:p w14:paraId="09A86379" w14:textId="4DF38F33" w:rsidR="0096797C" w:rsidRDefault="0096797C" w:rsidP="00055CDE">
      <w:pPr>
        <w:rPr>
          <w:rFonts w:cs="Times New Roman"/>
          <w:szCs w:val="24"/>
        </w:rPr>
      </w:pPr>
    </w:p>
    <w:p w14:paraId="13C96B13" w14:textId="3FB18F44" w:rsidR="00E9389A" w:rsidRPr="00E9389A" w:rsidRDefault="00E9389A" w:rsidP="00055CDE">
      <w:pPr>
        <w:rPr>
          <w:rFonts w:cs="Times New Roman"/>
          <w:szCs w:val="24"/>
        </w:rPr>
      </w:pPr>
      <w:r>
        <w:rPr>
          <w:rFonts w:cs="Times New Roman"/>
          <w:szCs w:val="24"/>
        </w:rPr>
        <w:t>Liiklusseaduse § 80 lõike 2 kohaselt, k</w:t>
      </w:r>
      <w:r w:rsidRPr="00E9389A">
        <w:rPr>
          <w:rFonts w:cs="Times New Roman"/>
          <w:szCs w:val="24"/>
        </w:rPr>
        <w:t>ui veosega või veoseta sõiduki mis tahes mõõde, mass või teljekoormus ületab kehtestatud suuruse, võib sõidukit liikluses kasutada käesoleva seaduse §-s 34</w:t>
      </w:r>
      <w:r w:rsidRPr="00E9389A">
        <w:rPr>
          <w:rFonts w:cs="Times New Roman"/>
          <w:szCs w:val="24"/>
          <w:vertAlign w:val="superscript"/>
        </w:rPr>
        <w:t>1</w:t>
      </w:r>
      <w:r w:rsidRPr="00E9389A">
        <w:rPr>
          <w:rFonts w:cs="Times New Roman"/>
          <w:szCs w:val="24"/>
        </w:rPr>
        <w:t xml:space="preserve"> kehtestatud korras.</w:t>
      </w:r>
      <w:r>
        <w:rPr>
          <w:rFonts w:cs="Times New Roman"/>
          <w:szCs w:val="24"/>
        </w:rPr>
        <w:t xml:space="preserve"> Liiklusseaduse § 34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lõige 7 volitab valdkonna eest vastutavat ministrit kehtestama muuhulgas </w:t>
      </w:r>
      <w:proofErr w:type="spellStart"/>
      <w:r>
        <w:rPr>
          <w:rFonts w:cs="Times New Roman"/>
          <w:szCs w:val="24"/>
        </w:rPr>
        <w:t>e</w:t>
      </w:r>
      <w:r w:rsidRPr="00E9389A">
        <w:rPr>
          <w:rFonts w:cs="Times New Roman"/>
          <w:szCs w:val="24"/>
        </w:rPr>
        <w:t>riveo</w:t>
      </w:r>
      <w:proofErr w:type="spellEnd"/>
      <w:r w:rsidRPr="00E9389A">
        <w:rPr>
          <w:rFonts w:cs="Times New Roman"/>
          <w:szCs w:val="24"/>
        </w:rPr>
        <w:t xml:space="preserve"> tingimused ning </w:t>
      </w:r>
      <w:proofErr w:type="spellStart"/>
      <w:r w:rsidRPr="00E9389A">
        <w:rPr>
          <w:rFonts w:cs="Times New Roman"/>
          <w:szCs w:val="24"/>
        </w:rPr>
        <w:t>eriveo</w:t>
      </w:r>
      <w:proofErr w:type="spellEnd"/>
      <w:r w:rsidRPr="00E9389A">
        <w:rPr>
          <w:rFonts w:cs="Times New Roman"/>
          <w:szCs w:val="24"/>
        </w:rPr>
        <w:t xml:space="preserve"> teostamise ja erilubade väljaandmise korra</w:t>
      </w:r>
      <w:r>
        <w:rPr>
          <w:rFonts w:cs="Times New Roman"/>
          <w:szCs w:val="24"/>
        </w:rPr>
        <w:t xml:space="preserve">. Seega muudetakse käesoleva eelnõuga </w:t>
      </w:r>
      <w:r w:rsidR="00D824CD">
        <w:rPr>
          <w:rFonts w:cs="Times New Roman"/>
          <w:szCs w:val="24"/>
        </w:rPr>
        <w:t>eriloa tegemise tingimusi</w:t>
      </w:r>
      <w:r>
        <w:rPr>
          <w:rFonts w:cs="Times New Roman"/>
          <w:szCs w:val="24"/>
        </w:rPr>
        <w:t xml:space="preserve"> selliselt, et eriluba 20,75 meetrise autorongiga sõidukite veoks</w:t>
      </w:r>
      <w:r w:rsidR="00D824CD">
        <w:rPr>
          <w:rFonts w:cs="Times New Roman"/>
          <w:szCs w:val="24"/>
        </w:rPr>
        <w:t xml:space="preserve"> saab anda ainult juhul, kui</w:t>
      </w:r>
      <w:r>
        <w:rPr>
          <w:rFonts w:cs="Times New Roman"/>
          <w:szCs w:val="24"/>
        </w:rPr>
        <w:t xml:space="preserve"> tegemist on riigisisese veoga.</w:t>
      </w:r>
    </w:p>
    <w:p w14:paraId="53B836DD" w14:textId="77777777" w:rsidR="00E9389A" w:rsidRDefault="00E9389A" w:rsidP="00055CDE">
      <w:pPr>
        <w:rPr>
          <w:rFonts w:cs="Times New Roman"/>
          <w:szCs w:val="24"/>
        </w:rPr>
      </w:pPr>
    </w:p>
    <w:p w14:paraId="627753CC" w14:textId="77777777" w:rsidR="00055CDE" w:rsidRDefault="00055CDE" w:rsidP="00055CDE">
      <w:pPr>
        <w:rPr>
          <w:rFonts w:cs="Times New Roman"/>
          <w:b/>
          <w:szCs w:val="24"/>
        </w:rPr>
      </w:pPr>
      <w:r w:rsidRPr="006F1E4A"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. E</w:t>
      </w:r>
      <w:r w:rsidRPr="006F1E4A">
        <w:rPr>
          <w:rFonts w:cs="Times New Roman"/>
          <w:b/>
          <w:szCs w:val="24"/>
        </w:rPr>
        <w:t xml:space="preserve">elnõu </w:t>
      </w:r>
      <w:r>
        <w:rPr>
          <w:rFonts w:cs="Times New Roman"/>
          <w:b/>
          <w:szCs w:val="24"/>
        </w:rPr>
        <w:t>vastavus Euroopa Liidu õigusele</w:t>
      </w:r>
    </w:p>
    <w:p w14:paraId="16D69845" w14:textId="77777777" w:rsidR="00055CDE" w:rsidRDefault="00055CDE" w:rsidP="00055CDE">
      <w:pPr>
        <w:rPr>
          <w:rFonts w:cs="Times New Roman"/>
          <w:b/>
          <w:szCs w:val="24"/>
        </w:rPr>
      </w:pPr>
    </w:p>
    <w:p w14:paraId="4AA1FFFB" w14:textId="19D204AA" w:rsidR="00CB4953" w:rsidRPr="00CB4953" w:rsidRDefault="00B21026" w:rsidP="00055CD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Eelnõu on vastavuses </w:t>
      </w:r>
      <w:r w:rsidR="00C97B15">
        <w:rPr>
          <w:rFonts w:cs="Times New Roman"/>
          <w:szCs w:val="24"/>
        </w:rPr>
        <w:t xml:space="preserve">nõukogu direktiiviga 96/53/EÜ ning on koostatud </w:t>
      </w:r>
      <w:r w:rsidR="007B785A">
        <w:rPr>
          <w:rFonts w:cs="Times New Roman"/>
          <w:szCs w:val="24"/>
        </w:rPr>
        <w:t>selle põhimõtete täpsemaks rakendamiseks riigisiseses õiguses.</w:t>
      </w:r>
    </w:p>
    <w:p w14:paraId="43E60CD6" w14:textId="77777777" w:rsidR="00CB4953" w:rsidRPr="006F1E4A" w:rsidRDefault="00CB4953" w:rsidP="00055CDE">
      <w:pPr>
        <w:rPr>
          <w:rFonts w:cs="Times New Roman"/>
          <w:b/>
          <w:szCs w:val="24"/>
        </w:rPr>
      </w:pPr>
    </w:p>
    <w:p w14:paraId="579F30BE" w14:textId="77777777" w:rsidR="00055CDE" w:rsidRDefault="00055CDE" w:rsidP="00055CDE">
      <w:pPr>
        <w:rPr>
          <w:rFonts w:cs="Times New Roman"/>
          <w:b/>
          <w:szCs w:val="24"/>
        </w:rPr>
      </w:pPr>
      <w:r w:rsidRPr="006F1E4A">
        <w:rPr>
          <w:rFonts w:cs="Times New Roman"/>
          <w:b/>
          <w:szCs w:val="24"/>
        </w:rPr>
        <w:t xml:space="preserve">4. </w:t>
      </w:r>
      <w:r>
        <w:rPr>
          <w:rFonts w:cs="Times New Roman"/>
          <w:b/>
          <w:szCs w:val="24"/>
        </w:rPr>
        <w:t>Määruse</w:t>
      </w:r>
      <w:r w:rsidRPr="006F1E4A">
        <w:rPr>
          <w:rFonts w:cs="Times New Roman"/>
          <w:b/>
          <w:szCs w:val="24"/>
        </w:rPr>
        <w:t xml:space="preserve"> mõjud</w:t>
      </w:r>
    </w:p>
    <w:p w14:paraId="111DC749" w14:textId="59124C33" w:rsidR="00055CDE" w:rsidRDefault="00055CDE" w:rsidP="00055CDE">
      <w:pPr>
        <w:rPr>
          <w:rFonts w:cs="Times New Roman"/>
          <w:b/>
          <w:szCs w:val="24"/>
        </w:rPr>
      </w:pPr>
    </w:p>
    <w:p w14:paraId="2E022E26" w14:textId="449CCA45" w:rsidR="007B785A" w:rsidRPr="007B785A" w:rsidRDefault="007B785A" w:rsidP="00055CDE">
      <w:pPr>
        <w:rPr>
          <w:rFonts w:cs="Times New Roman"/>
          <w:bCs/>
          <w:szCs w:val="24"/>
        </w:rPr>
      </w:pPr>
      <w:r w:rsidRPr="007B785A">
        <w:rPr>
          <w:rFonts w:cs="Times New Roman"/>
          <w:bCs/>
          <w:szCs w:val="24"/>
        </w:rPr>
        <w:t xml:space="preserve">Kuna eelnõul puudub oluline mõju, siis </w:t>
      </w:r>
      <w:r>
        <w:rPr>
          <w:rFonts w:cs="Times New Roman"/>
          <w:bCs/>
          <w:szCs w:val="24"/>
        </w:rPr>
        <w:t xml:space="preserve">piirdub mõjuanalüüs mõju </w:t>
      </w:r>
      <w:r w:rsidR="00127471">
        <w:rPr>
          <w:rFonts w:cs="Times New Roman"/>
          <w:bCs/>
          <w:szCs w:val="24"/>
        </w:rPr>
        <w:t>lühi</w:t>
      </w:r>
      <w:r>
        <w:rPr>
          <w:rFonts w:cs="Times New Roman"/>
          <w:bCs/>
          <w:szCs w:val="24"/>
        </w:rPr>
        <w:t>kirjeldusega. Eelnõu mõjutab veoettevõtjaid, kes tegelevad sõidukite transiidiga läbi Eesti</w:t>
      </w:r>
      <w:r w:rsidR="00127471">
        <w:rPr>
          <w:rFonts w:cs="Times New Roman"/>
          <w:bCs/>
          <w:szCs w:val="24"/>
        </w:rPr>
        <w:t xml:space="preserve"> eelkõige kolmandatesse riikidesse</w:t>
      </w:r>
      <w:r>
        <w:rPr>
          <w:rFonts w:cs="Times New Roman"/>
          <w:bCs/>
          <w:szCs w:val="24"/>
        </w:rPr>
        <w:t xml:space="preserve">. Eelnõu ei piira sõidukite transiiti, kuid vähendab </w:t>
      </w:r>
      <w:r w:rsidR="00785CF7">
        <w:rPr>
          <w:rFonts w:cs="Times New Roman"/>
          <w:bCs/>
          <w:szCs w:val="24"/>
        </w:rPr>
        <w:t>mõningal määral vedude kasumlikust, kuna sõidukite transpordil ei ole enam võimalik ühte autorongi mahutada nii palju sõidukeid. Samas on muudatus vajalik Euroopa õiguse ühetaoliseks rakendamiseks liikmesriikides.</w:t>
      </w:r>
    </w:p>
    <w:p w14:paraId="5D2D1CF1" w14:textId="77777777" w:rsidR="00055CDE" w:rsidRPr="006F1E4A" w:rsidRDefault="00055CDE" w:rsidP="00055CDE">
      <w:pPr>
        <w:rPr>
          <w:rFonts w:cs="Times New Roman"/>
          <w:b/>
          <w:szCs w:val="24"/>
        </w:rPr>
      </w:pPr>
    </w:p>
    <w:p w14:paraId="26BC2DE2" w14:textId="24FBBC59" w:rsidR="00055CDE" w:rsidRDefault="00055CDE" w:rsidP="00055CDE">
      <w:pPr>
        <w:rPr>
          <w:rFonts w:cs="Times New Roman"/>
          <w:b/>
          <w:szCs w:val="24"/>
        </w:rPr>
      </w:pPr>
      <w:r w:rsidRPr="007A1BAE">
        <w:rPr>
          <w:rFonts w:cs="Times New Roman"/>
          <w:b/>
          <w:szCs w:val="24"/>
        </w:rPr>
        <w:t xml:space="preserve">5. </w:t>
      </w:r>
      <w:r w:rsidR="00EE22A6">
        <w:rPr>
          <w:rFonts w:cs="Times New Roman"/>
          <w:b/>
          <w:szCs w:val="24"/>
        </w:rPr>
        <w:t>Määruse</w:t>
      </w:r>
      <w:r w:rsidRPr="007A1BAE">
        <w:rPr>
          <w:rFonts w:cs="Times New Roman"/>
          <w:b/>
          <w:szCs w:val="24"/>
        </w:rPr>
        <w:t xml:space="preserve"> rakendamisega seotud riigi ja kohaliku omavalitsuse tegev</w:t>
      </w:r>
      <w:r>
        <w:rPr>
          <w:rFonts w:cs="Times New Roman"/>
          <w:b/>
          <w:szCs w:val="24"/>
        </w:rPr>
        <w:t>used, eeldatavad kulud ja tulud.</w:t>
      </w:r>
    </w:p>
    <w:p w14:paraId="1C38F2E6" w14:textId="77777777" w:rsidR="00055CDE" w:rsidRDefault="00055CDE" w:rsidP="00055CDE">
      <w:pPr>
        <w:rPr>
          <w:rFonts w:cs="Times New Roman"/>
          <w:b/>
          <w:szCs w:val="24"/>
        </w:rPr>
      </w:pPr>
    </w:p>
    <w:p w14:paraId="4FCB1315" w14:textId="70E47449" w:rsidR="00055CDE" w:rsidRDefault="004E66EB" w:rsidP="00055CDE">
      <w:pPr>
        <w:autoSpaceDE w:val="0"/>
        <w:autoSpaceDN w:val="0"/>
        <w:spacing w:before="40" w:after="40"/>
        <w:rPr>
          <w:rFonts w:cs="Times New Roman"/>
          <w:szCs w:val="24"/>
        </w:rPr>
      </w:pPr>
      <w:r>
        <w:rPr>
          <w:rFonts w:cs="Times New Roman"/>
          <w:szCs w:val="24"/>
        </w:rPr>
        <w:t>Eelnõu ei oma mõju riigi ja kohaliku omavalit</w:t>
      </w:r>
      <w:r w:rsidR="00BE50CE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use tegevusele, samuti ei muutu riigi ja kohaliku omavalit</w:t>
      </w:r>
      <w:r w:rsidR="00BE50CE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use</w:t>
      </w:r>
      <w:r w:rsidR="00BE50CE">
        <w:rPr>
          <w:rFonts w:cs="Times New Roman"/>
          <w:szCs w:val="24"/>
        </w:rPr>
        <w:t xml:space="preserve"> üksuse</w:t>
      </w:r>
      <w:r>
        <w:rPr>
          <w:rFonts w:cs="Times New Roman"/>
          <w:szCs w:val="24"/>
        </w:rPr>
        <w:t xml:space="preserve"> tulud ja kulud.</w:t>
      </w:r>
    </w:p>
    <w:p w14:paraId="1F452FC5" w14:textId="77777777" w:rsidR="000E33DF" w:rsidRDefault="000E33DF" w:rsidP="00055CDE">
      <w:pPr>
        <w:autoSpaceDE w:val="0"/>
        <w:autoSpaceDN w:val="0"/>
        <w:spacing w:before="40" w:after="40"/>
        <w:rPr>
          <w:rFonts w:cs="Times New Roman"/>
          <w:szCs w:val="24"/>
        </w:rPr>
      </w:pPr>
    </w:p>
    <w:p w14:paraId="3C464D3E" w14:textId="66C5FEC2" w:rsidR="000E33DF" w:rsidRPr="000E33DF" w:rsidRDefault="000E33DF" w:rsidP="00055CDE">
      <w:pPr>
        <w:autoSpaceDE w:val="0"/>
        <w:autoSpaceDN w:val="0"/>
        <w:spacing w:before="40" w:after="40"/>
        <w:rPr>
          <w:rFonts w:cs="Times New Roman"/>
          <w:b/>
          <w:szCs w:val="24"/>
        </w:rPr>
      </w:pPr>
      <w:r w:rsidRPr="000E33DF">
        <w:rPr>
          <w:rFonts w:cs="Times New Roman"/>
          <w:b/>
          <w:szCs w:val="24"/>
        </w:rPr>
        <w:t>6. Määruse jõustumine</w:t>
      </w:r>
    </w:p>
    <w:p w14:paraId="700E1199" w14:textId="77777777" w:rsidR="000E33DF" w:rsidRDefault="000E33DF" w:rsidP="00055CDE">
      <w:pPr>
        <w:autoSpaceDE w:val="0"/>
        <w:autoSpaceDN w:val="0"/>
        <w:spacing w:before="40" w:after="40"/>
        <w:rPr>
          <w:rFonts w:cs="Times New Roman"/>
          <w:szCs w:val="24"/>
        </w:rPr>
      </w:pPr>
    </w:p>
    <w:p w14:paraId="06B0EC56" w14:textId="4C675245" w:rsidR="00DD136F" w:rsidRDefault="00DD136F" w:rsidP="00055CDE">
      <w:pPr>
        <w:autoSpaceDE w:val="0"/>
        <w:autoSpaceDN w:val="0"/>
        <w:spacing w:before="40" w:after="40"/>
        <w:rPr>
          <w:rFonts w:cs="Times New Roman"/>
          <w:szCs w:val="24"/>
        </w:rPr>
      </w:pPr>
      <w:r>
        <w:rPr>
          <w:rFonts w:cs="Times New Roman"/>
          <w:szCs w:val="24"/>
        </w:rPr>
        <w:t>Määrus jõustub üldises korras.</w:t>
      </w:r>
    </w:p>
    <w:p w14:paraId="62121B58" w14:textId="77777777" w:rsidR="00743FE0" w:rsidRPr="007A1BAE" w:rsidRDefault="00743FE0" w:rsidP="00055CDE">
      <w:pPr>
        <w:rPr>
          <w:rFonts w:cs="Times New Roman"/>
          <w:b/>
          <w:szCs w:val="24"/>
        </w:rPr>
      </w:pPr>
    </w:p>
    <w:p w14:paraId="10A03700" w14:textId="1A6BCA7C" w:rsidR="00055CDE" w:rsidRPr="00774076" w:rsidRDefault="000E33DF" w:rsidP="00055CD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055CDE">
        <w:rPr>
          <w:rFonts w:cs="Times New Roman"/>
          <w:b/>
          <w:szCs w:val="24"/>
        </w:rPr>
        <w:t>.</w:t>
      </w:r>
      <w:r w:rsidR="008438D8">
        <w:rPr>
          <w:rFonts w:cs="Times New Roman"/>
          <w:b/>
          <w:szCs w:val="24"/>
        </w:rPr>
        <w:t xml:space="preserve"> </w:t>
      </w:r>
      <w:r w:rsidR="00055CDE">
        <w:rPr>
          <w:rFonts w:cs="Times New Roman"/>
          <w:b/>
          <w:szCs w:val="24"/>
        </w:rPr>
        <w:t>E</w:t>
      </w:r>
      <w:r w:rsidR="00055CDE" w:rsidRPr="00774076">
        <w:rPr>
          <w:rFonts w:cs="Times New Roman"/>
          <w:b/>
          <w:szCs w:val="24"/>
        </w:rPr>
        <w:t>elnõu kooskõlastamine, huvirühmade kaasamine ja avalik konsultatsioon.</w:t>
      </w:r>
    </w:p>
    <w:p w14:paraId="6D6ABF7B" w14:textId="77777777" w:rsidR="00055CDE" w:rsidRDefault="00055CDE" w:rsidP="00055CDE">
      <w:pPr>
        <w:rPr>
          <w:rFonts w:cs="Times New Roman"/>
          <w:szCs w:val="24"/>
        </w:rPr>
      </w:pPr>
    </w:p>
    <w:p w14:paraId="4537F36A" w14:textId="2909A2E2" w:rsidR="003C4110" w:rsidRDefault="00055CDE" w:rsidP="00A33CAB">
      <w:pPr>
        <w:pStyle w:val="Normaallaadveeb"/>
        <w:spacing w:before="0" w:beforeAutospacing="0" w:after="0" w:afterAutospacing="0"/>
      </w:pPr>
      <w:r>
        <w:t xml:space="preserve">Eelnõu kooskõlastatakse Siseministeeriumiga </w:t>
      </w:r>
      <w:r w:rsidR="00127471">
        <w:t xml:space="preserve">ja esitatakse Transpordiametile arvamuse andmiseks </w:t>
      </w:r>
      <w:r>
        <w:t>eelnõude infosüsteemi EIS kaudu.</w:t>
      </w:r>
    </w:p>
    <w:sectPr w:rsidR="003C4110" w:rsidSect="00BC083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4C63" w14:textId="77777777" w:rsidR="0095312B" w:rsidRDefault="0095312B" w:rsidP="002B7262">
      <w:r>
        <w:separator/>
      </w:r>
    </w:p>
  </w:endnote>
  <w:endnote w:type="continuationSeparator" w:id="0">
    <w:p w14:paraId="12E1E180" w14:textId="77777777" w:rsidR="0095312B" w:rsidRDefault="0095312B" w:rsidP="002B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4F66" w14:textId="77777777" w:rsidR="0095312B" w:rsidRDefault="0095312B" w:rsidP="002B7262">
      <w:r>
        <w:separator/>
      </w:r>
    </w:p>
  </w:footnote>
  <w:footnote w:type="continuationSeparator" w:id="0">
    <w:p w14:paraId="1408C9B8" w14:textId="77777777" w:rsidR="0095312B" w:rsidRDefault="0095312B" w:rsidP="002B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0C44"/>
    <w:multiLevelType w:val="hybridMultilevel"/>
    <w:tmpl w:val="37A66D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22232"/>
    <w:multiLevelType w:val="hybridMultilevel"/>
    <w:tmpl w:val="161215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DE"/>
    <w:rsid w:val="0001171B"/>
    <w:rsid w:val="0002226D"/>
    <w:rsid w:val="000231E9"/>
    <w:rsid w:val="00023C7C"/>
    <w:rsid w:val="00027A69"/>
    <w:rsid w:val="00030347"/>
    <w:rsid w:val="00043EAD"/>
    <w:rsid w:val="00055CDE"/>
    <w:rsid w:val="00055EF5"/>
    <w:rsid w:val="00071833"/>
    <w:rsid w:val="00080EDD"/>
    <w:rsid w:val="00082EC5"/>
    <w:rsid w:val="0008742B"/>
    <w:rsid w:val="00090B9F"/>
    <w:rsid w:val="000B1D1A"/>
    <w:rsid w:val="000B5E0E"/>
    <w:rsid w:val="000B6140"/>
    <w:rsid w:val="000C2170"/>
    <w:rsid w:val="000D1DE6"/>
    <w:rsid w:val="000E3105"/>
    <w:rsid w:val="000E33DF"/>
    <w:rsid w:val="000F2C8A"/>
    <w:rsid w:val="000F4F39"/>
    <w:rsid w:val="000F79E7"/>
    <w:rsid w:val="00110883"/>
    <w:rsid w:val="001127C2"/>
    <w:rsid w:val="001166CB"/>
    <w:rsid w:val="00126952"/>
    <w:rsid w:val="00127471"/>
    <w:rsid w:val="00131477"/>
    <w:rsid w:val="0015004F"/>
    <w:rsid w:val="00156CE1"/>
    <w:rsid w:val="00156D3F"/>
    <w:rsid w:val="00163B73"/>
    <w:rsid w:val="00165007"/>
    <w:rsid w:val="00173BBC"/>
    <w:rsid w:val="00191D4B"/>
    <w:rsid w:val="00196F7C"/>
    <w:rsid w:val="001976EC"/>
    <w:rsid w:val="001A1D9A"/>
    <w:rsid w:val="001A313C"/>
    <w:rsid w:val="001A5846"/>
    <w:rsid w:val="001C1289"/>
    <w:rsid w:val="001C4F56"/>
    <w:rsid w:val="001E5A7C"/>
    <w:rsid w:val="001F268D"/>
    <w:rsid w:val="0020446F"/>
    <w:rsid w:val="002052FC"/>
    <w:rsid w:val="0020784B"/>
    <w:rsid w:val="002128D5"/>
    <w:rsid w:val="00214D6F"/>
    <w:rsid w:val="00234515"/>
    <w:rsid w:val="00240C7F"/>
    <w:rsid w:val="002529E7"/>
    <w:rsid w:val="00255954"/>
    <w:rsid w:val="00257C06"/>
    <w:rsid w:val="00265400"/>
    <w:rsid w:val="00266EC7"/>
    <w:rsid w:val="00282006"/>
    <w:rsid w:val="00285D5C"/>
    <w:rsid w:val="00290D7A"/>
    <w:rsid w:val="00293806"/>
    <w:rsid w:val="002938E0"/>
    <w:rsid w:val="00294988"/>
    <w:rsid w:val="002B0524"/>
    <w:rsid w:val="002B0D46"/>
    <w:rsid w:val="002B1358"/>
    <w:rsid w:val="002B7262"/>
    <w:rsid w:val="002C1054"/>
    <w:rsid w:val="002C33A5"/>
    <w:rsid w:val="002F5BCF"/>
    <w:rsid w:val="002F6609"/>
    <w:rsid w:val="00313470"/>
    <w:rsid w:val="00314F5C"/>
    <w:rsid w:val="003175D0"/>
    <w:rsid w:val="0032638D"/>
    <w:rsid w:val="003336C9"/>
    <w:rsid w:val="00336DE9"/>
    <w:rsid w:val="003421A2"/>
    <w:rsid w:val="00346A28"/>
    <w:rsid w:val="0036572F"/>
    <w:rsid w:val="00390513"/>
    <w:rsid w:val="00391154"/>
    <w:rsid w:val="003962A4"/>
    <w:rsid w:val="0039711A"/>
    <w:rsid w:val="003A781F"/>
    <w:rsid w:val="003C171A"/>
    <w:rsid w:val="003C4110"/>
    <w:rsid w:val="00402D8C"/>
    <w:rsid w:val="004034A3"/>
    <w:rsid w:val="00404AAB"/>
    <w:rsid w:val="00417DC5"/>
    <w:rsid w:val="00421D54"/>
    <w:rsid w:val="00421E79"/>
    <w:rsid w:val="00430901"/>
    <w:rsid w:val="00430B20"/>
    <w:rsid w:val="00446CFA"/>
    <w:rsid w:val="0045259D"/>
    <w:rsid w:val="00460ABC"/>
    <w:rsid w:val="0046453F"/>
    <w:rsid w:val="00470364"/>
    <w:rsid w:val="00497FC9"/>
    <w:rsid w:val="004C6E0B"/>
    <w:rsid w:val="004C7A6A"/>
    <w:rsid w:val="004C7E09"/>
    <w:rsid w:val="004E22BD"/>
    <w:rsid w:val="004E66EB"/>
    <w:rsid w:val="004F1B0D"/>
    <w:rsid w:val="005019A5"/>
    <w:rsid w:val="00517DB2"/>
    <w:rsid w:val="005207C3"/>
    <w:rsid w:val="005240EE"/>
    <w:rsid w:val="00525696"/>
    <w:rsid w:val="00526C17"/>
    <w:rsid w:val="00533E1F"/>
    <w:rsid w:val="00534BB4"/>
    <w:rsid w:val="00537AD3"/>
    <w:rsid w:val="00546900"/>
    <w:rsid w:val="0055738E"/>
    <w:rsid w:val="0056467D"/>
    <w:rsid w:val="005654DD"/>
    <w:rsid w:val="00571E1C"/>
    <w:rsid w:val="005762D7"/>
    <w:rsid w:val="0058300F"/>
    <w:rsid w:val="005A0AE5"/>
    <w:rsid w:val="005C0395"/>
    <w:rsid w:val="005C43E1"/>
    <w:rsid w:val="005C5274"/>
    <w:rsid w:val="005D26BA"/>
    <w:rsid w:val="005E4BCB"/>
    <w:rsid w:val="005E50C1"/>
    <w:rsid w:val="005E5137"/>
    <w:rsid w:val="005E7017"/>
    <w:rsid w:val="00601D73"/>
    <w:rsid w:val="00603603"/>
    <w:rsid w:val="0062404E"/>
    <w:rsid w:val="0063726E"/>
    <w:rsid w:val="0064544A"/>
    <w:rsid w:val="00650001"/>
    <w:rsid w:val="00656309"/>
    <w:rsid w:val="006657FE"/>
    <w:rsid w:val="00673932"/>
    <w:rsid w:val="00691A12"/>
    <w:rsid w:val="00692BCD"/>
    <w:rsid w:val="006B09DC"/>
    <w:rsid w:val="006C65CE"/>
    <w:rsid w:val="006D1C97"/>
    <w:rsid w:val="006D2A56"/>
    <w:rsid w:val="006E1A92"/>
    <w:rsid w:val="006F3141"/>
    <w:rsid w:val="00712EB5"/>
    <w:rsid w:val="007228B4"/>
    <w:rsid w:val="007241DB"/>
    <w:rsid w:val="00731698"/>
    <w:rsid w:val="00743FE0"/>
    <w:rsid w:val="00746E27"/>
    <w:rsid w:val="007513AC"/>
    <w:rsid w:val="0075270B"/>
    <w:rsid w:val="007573BB"/>
    <w:rsid w:val="00761211"/>
    <w:rsid w:val="00766998"/>
    <w:rsid w:val="007718EF"/>
    <w:rsid w:val="00774DE7"/>
    <w:rsid w:val="00775759"/>
    <w:rsid w:val="00785960"/>
    <w:rsid w:val="00785CF7"/>
    <w:rsid w:val="007863D8"/>
    <w:rsid w:val="007A122A"/>
    <w:rsid w:val="007A3179"/>
    <w:rsid w:val="007A76F1"/>
    <w:rsid w:val="007B3A88"/>
    <w:rsid w:val="007B785A"/>
    <w:rsid w:val="007C3F4E"/>
    <w:rsid w:val="007C4E95"/>
    <w:rsid w:val="007C72BF"/>
    <w:rsid w:val="007D0227"/>
    <w:rsid w:val="007E0336"/>
    <w:rsid w:val="007F695B"/>
    <w:rsid w:val="00801F21"/>
    <w:rsid w:val="00803456"/>
    <w:rsid w:val="00814212"/>
    <w:rsid w:val="008246C0"/>
    <w:rsid w:val="008318A8"/>
    <w:rsid w:val="00836FB4"/>
    <w:rsid w:val="008438D8"/>
    <w:rsid w:val="008451BF"/>
    <w:rsid w:val="00860C31"/>
    <w:rsid w:val="00864031"/>
    <w:rsid w:val="00872E1C"/>
    <w:rsid w:val="00880096"/>
    <w:rsid w:val="00883424"/>
    <w:rsid w:val="008918B3"/>
    <w:rsid w:val="008A75A1"/>
    <w:rsid w:val="008B4677"/>
    <w:rsid w:val="008D2B41"/>
    <w:rsid w:val="008D4813"/>
    <w:rsid w:val="008F182D"/>
    <w:rsid w:val="008F763C"/>
    <w:rsid w:val="00905169"/>
    <w:rsid w:val="00911D86"/>
    <w:rsid w:val="0091449B"/>
    <w:rsid w:val="00920694"/>
    <w:rsid w:val="00926019"/>
    <w:rsid w:val="009304AA"/>
    <w:rsid w:val="009304F7"/>
    <w:rsid w:val="00931254"/>
    <w:rsid w:val="009320E2"/>
    <w:rsid w:val="00935081"/>
    <w:rsid w:val="0094749D"/>
    <w:rsid w:val="00950564"/>
    <w:rsid w:val="00950599"/>
    <w:rsid w:val="0095312B"/>
    <w:rsid w:val="00953D31"/>
    <w:rsid w:val="00966D09"/>
    <w:rsid w:val="0096797C"/>
    <w:rsid w:val="009708F9"/>
    <w:rsid w:val="0097720C"/>
    <w:rsid w:val="00980FD9"/>
    <w:rsid w:val="00985B0D"/>
    <w:rsid w:val="00997FFC"/>
    <w:rsid w:val="009A3BFE"/>
    <w:rsid w:val="009B5139"/>
    <w:rsid w:val="009C0D31"/>
    <w:rsid w:val="009C49BC"/>
    <w:rsid w:val="009C55C5"/>
    <w:rsid w:val="00A10B27"/>
    <w:rsid w:val="00A14AA4"/>
    <w:rsid w:val="00A20449"/>
    <w:rsid w:val="00A217EE"/>
    <w:rsid w:val="00A2251B"/>
    <w:rsid w:val="00A25174"/>
    <w:rsid w:val="00A33CAB"/>
    <w:rsid w:val="00A44CE7"/>
    <w:rsid w:val="00A50153"/>
    <w:rsid w:val="00A5032B"/>
    <w:rsid w:val="00A53640"/>
    <w:rsid w:val="00A5488C"/>
    <w:rsid w:val="00A55373"/>
    <w:rsid w:val="00A60F59"/>
    <w:rsid w:val="00A64136"/>
    <w:rsid w:val="00A75969"/>
    <w:rsid w:val="00A81755"/>
    <w:rsid w:val="00A83F0E"/>
    <w:rsid w:val="00A93125"/>
    <w:rsid w:val="00A943EC"/>
    <w:rsid w:val="00AA09E2"/>
    <w:rsid w:val="00AA7D94"/>
    <w:rsid w:val="00AB579C"/>
    <w:rsid w:val="00AC159E"/>
    <w:rsid w:val="00AC4EAD"/>
    <w:rsid w:val="00AD0C5B"/>
    <w:rsid w:val="00AD1FD8"/>
    <w:rsid w:val="00AD5A1E"/>
    <w:rsid w:val="00AE1424"/>
    <w:rsid w:val="00B0363B"/>
    <w:rsid w:val="00B152D4"/>
    <w:rsid w:val="00B165C7"/>
    <w:rsid w:val="00B21026"/>
    <w:rsid w:val="00B3651D"/>
    <w:rsid w:val="00B36A33"/>
    <w:rsid w:val="00B42777"/>
    <w:rsid w:val="00B46986"/>
    <w:rsid w:val="00B51250"/>
    <w:rsid w:val="00B66A9C"/>
    <w:rsid w:val="00B674AD"/>
    <w:rsid w:val="00B7614C"/>
    <w:rsid w:val="00B815AB"/>
    <w:rsid w:val="00B915F8"/>
    <w:rsid w:val="00B96E60"/>
    <w:rsid w:val="00BA6870"/>
    <w:rsid w:val="00BB56CB"/>
    <w:rsid w:val="00BC083E"/>
    <w:rsid w:val="00BC470F"/>
    <w:rsid w:val="00BC5777"/>
    <w:rsid w:val="00BD2AA1"/>
    <w:rsid w:val="00BE50CE"/>
    <w:rsid w:val="00BF0815"/>
    <w:rsid w:val="00BF49E0"/>
    <w:rsid w:val="00C2479D"/>
    <w:rsid w:val="00C3075D"/>
    <w:rsid w:val="00C3410A"/>
    <w:rsid w:val="00C56E0A"/>
    <w:rsid w:val="00C67556"/>
    <w:rsid w:val="00C71A91"/>
    <w:rsid w:val="00C854AD"/>
    <w:rsid w:val="00C87A46"/>
    <w:rsid w:val="00C90475"/>
    <w:rsid w:val="00C93383"/>
    <w:rsid w:val="00C97B15"/>
    <w:rsid w:val="00CB1F09"/>
    <w:rsid w:val="00CB4953"/>
    <w:rsid w:val="00CD79E7"/>
    <w:rsid w:val="00CE589A"/>
    <w:rsid w:val="00CF0F8A"/>
    <w:rsid w:val="00CF32E1"/>
    <w:rsid w:val="00CF74A5"/>
    <w:rsid w:val="00D26C95"/>
    <w:rsid w:val="00D3534E"/>
    <w:rsid w:val="00D35D2B"/>
    <w:rsid w:val="00D5136E"/>
    <w:rsid w:val="00D56614"/>
    <w:rsid w:val="00D6313D"/>
    <w:rsid w:val="00D75065"/>
    <w:rsid w:val="00D75F60"/>
    <w:rsid w:val="00D824CD"/>
    <w:rsid w:val="00D8278D"/>
    <w:rsid w:val="00DA3905"/>
    <w:rsid w:val="00DA4229"/>
    <w:rsid w:val="00DA5C5F"/>
    <w:rsid w:val="00DB67D6"/>
    <w:rsid w:val="00DD136F"/>
    <w:rsid w:val="00DE0455"/>
    <w:rsid w:val="00DE5BC3"/>
    <w:rsid w:val="00DF2A8A"/>
    <w:rsid w:val="00E05AA0"/>
    <w:rsid w:val="00E13037"/>
    <w:rsid w:val="00E1617C"/>
    <w:rsid w:val="00E20910"/>
    <w:rsid w:val="00E35110"/>
    <w:rsid w:val="00E40EE9"/>
    <w:rsid w:val="00E41958"/>
    <w:rsid w:val="00E42585"/>
    <w:rsid w:val="00E44740"/>
    <w:rsid w:val="00E5265A"/>
    <w:rsid w:val="00E6592D"/>
    <w:rsid w:val="00E9389A"/>
    <w:rsid w:val="00E9690F"/>
    <w:rsid w:val="00EA734D"/>
    <w:rsid w:val="00EB26DC"/>
    <w:rsid w:val="00EB4CB4"/>
    <w:rsid w:val="00EB5626"/>
    <w:rsid w:val="00EC00BA"/>
    <w:rsid w:val="00ED4392"/>
    <w:rsid w:val="00EE22A6"/>
    <w:rsid w:val="00EF4CF4"/>
    <w:rsid w:val="00F022A2"/>
    <w:rsid w:val="00F022FF"/>
    <w:rsid w:val="00F12886"/>
    <w:rsid w:val="00F21133"/>
    <w:rsid w:val="00F27140"/>
    <w:rsid w:val="00F309D5"/>
    <w:rsid w:val="00F42FAC"/>
    <w:rsid w:val="00F43670"/>
    <w:rsid w:val="00F45056"/>
    <w:rsid w:val="00F4675F"/>
    <w:rsid w:val="00F57ACC"/>
    <w:rsid w:val="00F750E9"/>
    <w:rsid w:val="00FB6CDE"/>
    <w:rsid w:val="00FD1457"/>
    <w:rsid w:val="00FD2E85"/>
    <w:rsid w:val="00FE2703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731B"/>
  <w15:chartTrackingRefBased/>
  <w15:docId w15:val="{43C22D77-773A-48E5-8A1B-F8D939E0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5CDE"/>
    <w:pPr>
      <w:jc w:val="both"/>
    </w:pPr>
    <w:rPr>
      <w:rFonts w:cstheme="minorBid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055CDE"/>
    <w:rPr>
      <w:color w:val="0563C1" w:themeColor="hyperlink"/>
      <w:u w:val="single"/>
    </w:rPr>
  </w:style>
  <w:style w:type="paragraph" w:styleId="Normaallaadveeb">
    <w:name w:val="Normal (Web)"/>
    <w:basedOn w:val="Normaallaad"/>
    <w:unhideWhenUsed/>
    <w:rsid w:val="00055CDE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80345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0345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03456"/>
    <w:rPr>
      <w:rFonts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0345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03456"/>
    <w:rPr>
      <w:rFonts w:cstheme="minorBidi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0345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034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4CF4"/>
    <w:pPr>
      <w:autoSpaceDE w:val="0"/>
      <w:autoSpaceDN w:val="0"/>
      <w:adjustRightInd w:val="0"/>
    </w:pPr>
    <w:rPr>
      <w:color w:val="000000"/>
      <w:szCs w:val="24"/>
    </w:rPr>
  </w:style>
  <w:style w:type="paragraph" w:styleId="Pis">
    <w:name w:val="header"/>
    <w:basedOn w:val="Normaallaad"/>
    <w:link w:val="PisMrk"/>
    <w:uiPriority w:val="99"/>
    <w:unhideWhenUsed/>
    <w:rsid w:val="002B726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B7262"/>
    <w:rPr>
      <w:rFonts w:cstheme="minorBidi"/>
    </w:rPr>
  </w:style>
  <w:style w:type="paragraph" w:styleId="Jalus">
    <w:name w:val="footer"/>
    <w:basedOn w:val="Normaallaad"/>
    <w:link w:val="JalusMrk"/>
    <w:uiPriority w:val="99"/>
    <w:unhideWhenUsed/>
    <w:rsid w:val="002B726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B7262"/>
    <w:rPr>
      <w:rFonts w:cstheme="minorBidi"/>
    </w:rPr>
  </w:style>
  <w:style w:type="character" w:customStyle="1" w:styleId="Pealkiri1Mrk">
    <w:name w:val="Pealkiri 1 Märk"/>
    <w:basedOn w:val="Liguvaikefont"/>
    <w:link w:val="Pealkiri1"/>
    <w:uiPriority w:val="9"/>
    <w:rsid w:val="00A53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3640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3640"/>
    <w:rPr>
      <w:rFonts w:cstheme="minorBidi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53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30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311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296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7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6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73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6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93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42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9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54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2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briline viide" Version="1987">
  <b:Source>
    <b:Tag>1TN</b:Tag>
    <b:SourceType>JournalArticle</b:SourceType>
    <b:Guid>{F34150EF-D976-4084-B535-FAC79FF431A2}</b:Guid>
    <b:Title>1TNO 2014 R11423 | Final report Study on some safety-related aspects of tyre use</b:Title>
    <b:RefOrder>1</b:RefOrder>
  </b:Source>
</b:Sources>
</file>

<file path=customXml/itemProps1.xml><?xml version="1.0" encoding="utf-8"?>
<ds:datastoreItem xmlns:ds="http://schemas.openxmlformats.org/officeDocument/2006/customXml" ds:itemID="{F8411165-F150-464F-A217-9F636EC2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755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Nurk</dc:creator>
  <cp:keywords/>
  <dc:description/>
  <cp:lastModifiedBy>Kairi-Ly Einborn</cp:lastModifiedBy>
  <cp:revision>9</cp:revision>
  <dcterms:created xsi:type="dcterms:W3CDTF">2022-04-28T10:49:00Z</dcterms:created>
  <dcterms:modified xsi:type="dcterms:W3CDTF">2022-05-02T12:08:00Z</dcterms:modified>
</cp:coreProperties>
</file>